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38D23" w14:textId="77777777" w:rsidR="0069384A" w:rsidRPr="004A0ED6" w:rsidRDefault="00E530E8">
      <w:pPr>
        <w:rPr>
          <w:lang w:val="en-GB"/>
        </w:rPr>
      </w:pPr>
      <w:r w:rsidRPr="004A0ED6">
        <w:rPr>
          <w:rFonts w:ascii="Arial" w:eastAsia="Times New Roman" w:hAnsi="Arial" w:cs="Arial"/>
          <w:b/>
          <w:sz w:val="40"/>
          <w:szCs w:val="40"/>
          <w:lang w:val="en-GB" w:eastAsia="en-GB"/>
        </w:rPr>
        <w:t>Supplementary data</w:t>
      </w:r>
    </w:p>
    <w:p w14:paraId="10FA6B2F" w14:textId="77777777" w:rsidR="0069384A" w:rsidRPr="004A0ED6" w:rsidRDefault="0069384A">
      <w:pPr>
        <w:rPr>
          <w:lang w:val="en-GB"/>
        </w:rPr>
      </w:pPr>
    </w:p>
    <w:p w14:paraId="71EE9A07" w14:textId="77777777" w:rsidR="0069384A" w:rsidRPr="004A0ED6" w:rsidRDefault="0069384A">
      <w:pPr>
        <w:rPr>
          <w:lang w:val="en-GB"/>
        </w:rPr>
      </w:pPr>
    </w:p>
    <w:p w14:paraId="6997E1F8" w14:textId="77777777" w:rsidR="0069384A" w:rsidRPr="004A0ED6" w:rsidRDefault="00E530E8">
      <w:pPr>
        <w:rPr>
          <w:lang w:val="en-GB"/>
        </w:rPr>
      </w:pPr>
      <w:r w:rsidRPr="004A0ED6">
        <w:rPr>
          <w:noProof/>
        </w:rPr>
        <w:drawing>
          <wp:inline distT="0" distB="0" distL="0" distR="0" wp14:anchorId="36F1F881" wp14:editId="7BD7487F">
            <wp:extent cx="4881880" cy="6400800"/>
            <wp:effectExtent l="0" t="0" r="0" b="0"/>
            <wp:docPr id="15704652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465232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191"/>
                    <a:stretch>
                      <a:fillRect/>
                    </a:stretch>
                  </pic:blipFill>
                  <pic:spPr>
                    <a:xfrm>
                      <a:off x="0" y="0"/>
                      <a:ext cx="4881966" cy="640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4E8CC" w14:textId="6F1A8F87" w:rsidR="0069384A" w:rsidRPr="004A0ED6" w:rsidRDefault="00E530E8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Figure </w:t>
      </w:r>
      <w:r w:rsidR="002F3C74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S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1.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Effect of different concentrations of ATRA on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.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show the growth of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on day 1, 3, 5, and 7.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(B)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illustrate the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cell bound ALP activity in </w:t>
      </w:r>
      <w:proofErr w:type="spellStart"/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at day 7 and day 14.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(C)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show the quantitative expression of cell bound ALP activity in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(B)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, and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(D)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demonstrate the ALP in medium at day 3, 7, 14 and 21.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(E-I)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show the expression of osteoblast and osteocyte markers (OPN, OCN, sclerostin, FGF23, and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lastRenderedPageBreak/>
        <w:t xml:space="preserve">leptin) in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cultured up to 21 days with different concentrations of ATRA.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The data is calculated in % of control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(A, C and D)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,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and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in concentration (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pg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/ml)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(E-I)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.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Values are presented as the mean ± SD. Significance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0.05,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0.01, and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p ≤ 0.001.</w:t>
      </w:r>
    </w:p>
    <w:p w14:paraId="57239DB2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0C65895D" w14:textId="77777777" w:rsidR="0069384A" w:rsidRPr="004A0ED6" w:rsidRDefault="00E530E8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  <w:r w:rsidRPr="004A0ED6">
        <w:rPr>
          <w:noProof/>
        </w:rPr>
        <w:drawing>
          <wp:inline distT="0" distB="0" distL="0" distR="0" wp14:anchorId="0D0535F6" wp14:editId="1BF3E1BB">
            <wp:extent cx="5774690" cy="5486400"/>
            <wp:effectExtent l="0" t="0" r="0" b="0"/>
            <wp:docPr id="7970224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02249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39" b="23590"/>
                    <a:stretch>
                      <a:fillRect/>
                    </a:stretch>
                  </pic:blipFill>
                  <pic:spPr>
                    <a:xfrm>
                      <a:off x="0" y="0"/>
                      <a:ext cx="5774988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537B25" w14:textId="1CD09495" w:rsidR="0069384A" w:rsidRPr="004A0ED6" w:rsidRDefault="00E530E8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sz w:val="33"/>
          <w:szCs w:val="33"/>
          <w:lang w:val="en-GB" w:eastAsia="en-GB"/>
        </w:rPr>
      </w:pP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Figure </w:t>
      </w:r>
      <w:r w:rsidR="002F3C74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S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2.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Effect of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>25(OH)D3 and ATRA on ALP activity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.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show the growth of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on day 1, 3, 5, and 7.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(B)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Illustrate the cell bound ALP activity in </w:t>
      </w:r>
      <w:proofErr w:type="spellStart"/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at day 7 and day 14.</w:t>
      </w:r>
      <w:r w:rsidR="006220CD"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(C)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shows the quantitative expression of cell bound ALP activity in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(B)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, and </w:t>
      </w:r>
      <w:r w:rsidRPr="004A0ED6">
        <w:rPr>
          <w:rFonts w:ascii="Arial" w:eastAsia="Times New Roman" w:hAnsi="Arial" w:cs="Arial"/>
          <w:b/>
          <w:sz w:val="24"/>
          <w:szCs w:val="33"/>
          <w:lang w:val="en-GB" w:eastAsia="en-GB"/>
        </w:rPr>
        <w:t>(D)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demonstrate the ALP in medium at day 3, 7, 14 and 21. </w:t>
      </w:r>
      <w:r w:rsidR="006220CD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(B, C and D)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also include duplicated images/ data from control and 10</w:t>
      </w:r>
      <w:r w:rsidR="006220CD" w:rsidRPr="004A0ED6">
        <w:rPr>
          <w:rFonts w:ascii="Arial" w:eastAsia="Times New Roman" w:hAnsi="Arial" w:cs="Arial"/>
          <w:bCs/>
          <w:sz w:val="28"/>
          <w:szCs w:val="28"/>
          <w:vertAlign w:val="superscript"/>
          <w:lang w:val="en-GB" w:eastAsia="en-GB"/>
        </w:rPr>
        <w:t>-5</w:t>
      </w:r>
      <w:r w:rsidR="006220CD" w:rsidRPr="004A0ED6">
        <w:rPr>
          <w:rFonts w:ascii="Arial" w:eastAsia="Times New Roman" w:hAnsi="Arial" w:cs="Arial"/>
          <w:bCs/>
          <w:sz w:val="28"/>
          <w:szCs w:val="28"/>
          <w:lang w:val="en-GB" w:eastAsia="en-GB"/>
        </w:rPr>
        <w:t xml:space="preserve">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ATRA in Figure S1 to demonstrate the effect of control and 10</w:t>
      </w:r>
      <w:r w:rsidR="006220CD" w:rsidRPr="004A0ED6">
        <w:rPr>
          <w:rFonts w:ascii="Arial" w:eastAsia="Times New Roman" w:hAnsi="Arial" w:cs="Arial"/>
          <w:bCs/>
          <w:sz w:val="28"/>
          <w:szCs w:val="28"/>
          <w:vertAlign w:val="superscript"/>
          <w:lang w:val="en-GB" w:eastAsia="en-GB"/>
        </w:rPr>
        <w:t>-5</w:t>
      </w:r>
      <w:r w:rsidR="006220CD" w:rsidRPr="004A0ED6">
        <w:rPr>
          <w:rFonts w:ascii="Arial" w:eastAsia="Times New Roman" w:hAnsi="Arial" w:cs="Arial"/>
          <w:bCs/>
          <w:sz w:val="28"/>
          <w:szCs w:val="28"/>
          <w:lang w:val="en-GB" w:eastAsia="en-GB"/>
        </w:rPr>
        <w:t xml:space="preserve">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ATRA along with 10</w:t>
      </w:r>
      <w:r w:rsidR="006220CD" w:rsidRPr="004A0ED6">
        <w:rPr>
          <w:rFonts w:ascii="Arial" w:eastAsia="Times New Roman" w:hAnsi="Arial" w:cs="Arial"/>
          <w:bCs/>
          <w:sz w:val="28"/>
          <w:szCs w:val="28"/>
          <w:vertAlign w:val="superscript"/>
          <w:lang w:val="en-GB" w:eastAsia="en-GB"/>
        </w:rPr>
        <w:t>-8</w:t>
      </w:r>
      <w:r w:rsidR="006220CD" w:rsidRPr="004A0ED6">
        <w:rPr>
          <w:rFonts w:ascii="Arial" w:eastAsia="Times New Roman" w:hAnsi="Arial" w:cs="Arial"/>
          <w:bCs/>
          <w:sz w:val="28"/>
          <w:szCs w:val="28"/>
          <w:lang w:val="en-GB" w:eastAsia="en-GB"/>
        </w:rPr>
        <w:t xml:space="preserve">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and</w:t>
      </w:r>
      <w:r w:rsidR="006220CD" w:rsidRPr="004A0ED6">
        <w:rPr>
          <w:rFonts w:ascii="Arial" w:eastAsia="Times New Roman" w:hAnsi="Arial" w:cs="Arial"/>
          <w:bCs/>
          <w:sz w:val="28"/>
          <w:szCs w:val="28"/>
          <w:lang w:val="en-GB" w:eastAsia="en-GB"/>
        </w:rPr>
        <w:t xml:space="preserve">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10</w:t>
      </w:r>
      <w:r w:rsidR="006220CD" w:rsidRPr="004A0ED6">
        <w:rPr>
          <w:rFonts w:ascii="Arial" w:eastAsia="Times New Roman" w:hAnsi="Arial" w:cs="Arial"/>
          <w:bCs/>
          <w:sz w:val="28"/>
          <w:szCs w:val="28"/>
          <w:vertAlign w:val="superscript"/>
          <w:lang w:val="en-GB" w:eastAsia="en-GB"/>
        </w:rPr>
        <w:t>-6</w:t>
      </w:r>
      <w:r w:rsidR="006220CD" w:rsidRPr="004A0ED6">
        <w:rPr>
          <w:rFonts w:ascii="Arial" w:eastAsia="Times New Roman" w:hAnsi="Arial" w:cs="Arial"/>
          <w:bCs/>
          <w:sz w:val="28"/>
          <w:szCs w:val="28"/>
          <w:lang w:val="en-GB" w:eastAsia="en-GB"/>
        </w:rPr>
        <w:t xml:space="preserve">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 xml:space="preserve">25(OH)D3 </w:t>
      </w:r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lastRenderedPageBreak/>
        <w:t xml:space="preserve">on </w:t>
      </w:r>
      <w:proofErr w:type="spellStart"/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hOBs</w:t>
      </w:r>
      <w:proofErr w:type="spellEnd"/>
      <w:r w:rsidR="006220CD" w:rsidRPr="004A0ED6">
        <w:rPr>
          <w:rFonts w:ascii="Arial" w:eastAsia="Times New Roman" w:hAnsi="Arial" w:cs="Arial"/>
          <w:bCs/>
          <w:sz w:val="24"/>
          <w:szCs w:val="24"/>
          <w:lang w:val="en-GB" w:eastAsia="en-GB"/>
        </w:rPr>
        <w:t>.</w:t>
      </w:r>
      <w:r w:rsidR="006220CD"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The data is calculated in % of control.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Values are presented as the mean ± SD. </w:t>
      </w:r>
      <w:r w:rsidRPr="004A0ED6">
        <w:rPr>
          <w:rFonts w:ascii="Times New Roman" w:eastAsia="Times New Roman" w:hAnsi="Times New Roman" w:cs="Times New Roman"/>
          <w:sz w:val="24"/>
          <w:szCs w:val="33"/>
          <w:lang w:val="en-GB" w:eastAsia="en-GB"/>
        </w:rPr>
        <w:t xml:space="preserve">* 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p ≤ 0.05 and </w:t>
      </w:r>
      <w:r w:rsidRPr="004A0ED6">
        <w:rPr>
          <w:rFonts w:ascii="Times New Roman" w:eastAsia="Times New Roman" w:hAnsi="Times New Roman" w:cs="Times New Roman"/>
          <w:sz w:val="24"/>
          <w:szCs w:val="33"/>
          <w:lang w:val="en-GB" w:eastAsia="en-GB"/>
        </w:rPr>
        <w:t>**</w:t>
      </w:r>
      <w:r w:rsidRPr="004A0ED6">
        <w:rPr>
          <w:rFonts w:ascii="Arial" w:eastAsia="Times New Roman" w:hAnsi="Arial" w:cs="Arial"/>
          <w:sz w:val="24"/>
          <w:szCs w:val="33"/>
          <w:lang w:val="en-GB" w:eastAsia="en-GB"/>
        </w:rPr>
        <w:t xml:space="preserve"> p ≤ 0.01. Scale bar 500 µm.</w:t>
      </w:r>
    </w:p>
    <w:p w14:paraId="53A8036C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6F981CED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399A9002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79936361" w14:textId="77777777" w:rsidR="0069384A" w:rsidRPr="004A0ED6" w:rsidRDefault="00E530E8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  <w:r w:rsidRPr="004A0ED6">
        <w:rPr>
          <w:noProof/>
        </w:rPr>
        <w:drawing>
          <wp:inline distT="0" distB="0" distL="0" distR="0" wp14:anchorId="762781B8" wp14:editId="64A87849">
            <wp:extent cx="4961255" cy="5486400"/>
            <wp:effectExtent l="0" t="0" r="0" b="0"/>
            <wp:docPr id="15109550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95506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38" r="14066" b="22996"/>
                    <a:stretch>
                      <a:fillRect/>
                    </a:stretch>
                  </pic:blipFill>
                  <pic:spPr>
                    <a:xfrm>
                      <a:off x="0" y="0"/>
                      <a:ext cx="4961437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588B75" w14:textId="77AAB78A" w:rsidR="0069384A" w:rsidRPr="004A0ED6" w:rsidRDefault="00E530E8">
      <w:pPr>
        <w:spacing w:before="100" w:beforeAutospacing="1" w:after="100" w:afterAutospacing="1" w:line="360" w:lineRule="auto"/>
        <w:jc w:val="both"/>
        <w:outlineLvl w:val="2"/>
        <w:rPr>
          <w:rFonts w:ascii="Arial" w:eastAsia="Times New Roman" w:hAnsi="Arial" w:cs="Arial"/>
          <w:sz w:val="24"/>
          <w:szCs w:val="24"/>
          <w:lang w:val="en-GB" w:eastAsia="en-GB"/>
        </w:rPr>
      </w:pP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Figure </w:t>
      </w:r>
      <w:r w:rsidR="002F3C74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S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3.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Level of osteoblast and osteocyte markers in cell culture medium. OPN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OCN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(B)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sclerostin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(C)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FGF23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(D)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and leptin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(E)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show the expression of osteoblast and osteocyte markers in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cultured up to 21 days with 25(OH)D3 and ATRA. Data is presented in concentration (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pg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/ml). Values are presented as the mean ± SD. Significance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0.05,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0.01, and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p ≤ 0.001.</w:t>
      </w:r>
    </w:p>
    <w:p w14:paraId="2DEACDDD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23E86044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24C1E766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3DD6ED9A" w14:textId="77777777" w:rsidR="0069384A" w:rsidRPr="004A0ED6" w:rsidRDefault="0069384A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en-GB"/>
        </w:rPr>
      </w:pPr>
    </w:p>
    <w:p w14:paraId="7965F399" w14:textId="77777777" w:rsidR="0069384A" w:rsidRPr="004A0ED6" w:rsidRDefault="0069384A">
      <w:pPr>
        <w:rPr>
          <w:lang w:val="en-GB"/>
        </w:rPr>
      </w:pPr>
    </w:p>
    <w:p w14:paraId="573F3FCC" w14:textId="77777777" w:rsidR="0069384A" w:rsidRPr="004A0ED6" w:rsidRDefault="00E530E8">
      <w:pPr>
        <w:rPr>
          <w:lang w:val="en-GB"/>
        </w:rPr>
      </w:pPr>
      <w:r w:rsidRPr="004A0ED6">
        <w:rPr>
          <w:noProof/>
        </w:rPr>
        <w:drawing>
          <wp:inline distT="0" distB="0" distL="0" distR="0" wp14:anchorId="2E1B7FE2" wp14:editId="7005C223">
            <wp:extent cx="4937125" cy="5486400"/>
            <wp:effectExtent l="0" t="0" r="0" b="0"/>
            <wp:docPr id="69545576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5455766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884" b="8458"/>
                    <a:stretch>
                      <a:fillRect/>
                    </a:stretch>
                  </pic:blipFill>
                  <pic:spPr>
                    <a:xfrm>
                      <a:off x="0" y="0"/>
                      <a:ext cx="4937406" cy="548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F61D5" w14:textId="6AFF8632" w:rsidR="0069384A" w:rsidRPr="004A0ED6" w:rsidRDefault="00E530E8">
      <w:pPr>
        <w:spacing w:before="100" w:beforeAutospacing="1" w:after="100" w:afterAutospacing="1" w:line="360" w:lineRule="auto"/>
        <w:jc w:val="both"/>
        <w:outlineLvl w:val="2"/>
        <w:rPr>
          <w:lang w:val="en-GB"/>
        </w:rPr>
      </w:pP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Figure </w:t>
      </w:r>
      <w:r w:rsidR="002F3C74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S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4.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Relative expression of osteoblast markers: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RUNX2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COL1A1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(B)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 xml:space="preserve">ALP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(C)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OPG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(D)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and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BGLAP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(E)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and osteocyte markers: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E11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(F)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 xml:space="preserve">DMP1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(G)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SOST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(H)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FGF23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(I)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MEPE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(J)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and PHEX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(K)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in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cultured at 7 and 21 days with 25(OH)D3 and ATRA. mRNA expression was normalized to </w:t>
      </w:r>
      <w:r w:rsidRPr="004A0ED6">
        <w:rPr>
          <w:rFonts w:ascii="Arial" w:eastAsia="Times New Roman" w:hAnsi="Arial" w:cs="Arial"/>
          <w:i/>
          <w:sz w:val="24"/>
          <w:szCs w:val="24"/>
          <w:lang w:val="en-GB" w:eastAsia="en-GB"/>
        </w:rPr>
        <w:t>GAPDH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and is presented as relative to control. Values are presented as the mean ± SD. Significance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0.05,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0.01, and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p ≤ 0.001.</w:t>
      </w:r>
    </w:p>
    <w:p w14:paraId="21D8F15C" w14:textId="77777777" w:rsidR="0069384A" w:rsidRPr="004A0ED6" w:rsidRDefault="0069384A">
      <w:pPr>
        <w:rPr>
          <w:lang w:val="en-GB"/>
        </w:rPr>
      </w:pPr>
    </w:p>
    <w:p w14:paraId="1AB02D1E" w14:textId="77777777" w:rsidR="0069384A" w:rsidRPr="004A0ED6" w:rsidRDefault="0069384A">
      <w:pPr>
        <w:rPr>
          <w:lang w:val="en-GB"/>
        </w:rPr>
      </w:pPr>
    </w:p>
    <w:p w14:paraId="73BF9171" w14:textId="77777777" w:rsidR="0069384A" w:rsidRPr="004A0ED6" w:rsidRDefault="0069384A">
      <w:pPr>
        <w:rPr>
          <w:lang w:val="en-GB"/>
        </w:rPr>
      </w:pPr>
    </w:p>
    <w:p w14:paraId="173B8913" w14:textId="77777777" w:rsidR="0069384A" w:rsidRPr="004A0ED6" w:rsidRDefault="0069384A">
      <w:pPr>
        <w:rPr>
          <w:lang w:val="en-GB"/>
        </w:rPr>
      </w:pPr>
    </w:p>
    <w:p w14:paraId="62065C77" w14:textId="77777777" w:rsidR="0069384A" w:rsidRPr="004A0ED6" w:rsidRDefault="00E530E8">
      <w:pPr>
        <w:rPr>
          <w:lang w:val="en-GB"/>
        </w:rPr>
      </w:pPr>
      <w:r w:rsidRPr="004A0ED6">
        <w:rPr>
          <w:noProof/>
        </w:rPr>
        <w:drawing>
          <wp:inline distT="0" distB="0" distL="0" distR="0" wp14:anchorId="27F5AC08" wp14:editId="16D5775D">
            <wp:extent cx="4546600" cy="2778125"/>
            <wp:effectExtent l="0" t="0" r="6350" b="3175"/>
            <wp:docPr id="2100722937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0722937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688" b="42995"/>
                    <a:stretch>
                      <a:fillRect/>
                    </a:stretch>
                  </pic:blipFill>
                  <pic:spPr>
                    <a:xfrm>
                      <a:off x="0" y="0"/>
                      <a:ext cx="4558036" cy="2785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634C6" w14:textId="67CC1C2E" w:rsidR="0069384A" w:rsidRPr="004A0ED6" w:rsidRDefault="00E530E8">
      <w:pPr>
        <w:spacing w:line="360" w:lineRule="auto"/>
        <w:rPr>
          <w:lang w:val="en-GB"/>
        </w:rPr>
      </w:pP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Figure </w:t>
      </w:r>
      <w:r w:rsidR="002F3C74"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S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 xml:space="preserve">5.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Relative mRNA expression of RARα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(A)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RARβ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(B)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RARγ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(C)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RXRα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(D)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RXRβ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(E)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, and VDR </w:t>
      </w:r>
      <w:r w:rsidRPr="004A0ED6">
        <w:rPr>
          <w:rFonts w:ascii="Arial" w:eastAsia="Times New Roman" w:hAnsi="Arial" w:cs="Arial"/>
          <w:b/>
          <w:sz w:val="24"/>
          <w:szCs w:val="24"/>
          <w:lang w:val="en-GB" w:eastAsia="en-GB"/>
        </w:rPr>
        <w:t>(F)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in </w:t>
      </w:r>
      <w:proofErr w:type="spellStart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>hOBs</w:t>
      </w:r>
      <w:proofErr w:type="spellEnd"/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cultured at 7 and 21 days with 25(OH)D3 and ATRA. mRNA expression was normalized to GAPDH and is presented as relative to control. Values are presented as the mean ± SD. Significance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p ≤ 0.05,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 xml:space="preserve">** 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p ≤ 0.01, and </w:t>
      </w:r>
      <w:r w:rsidRPr="004A0ED6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t>***</w:t>
      </w:r>
      <w:r w:rsidRPr="004A0ED6">
        <w:rPr>
          <w:rFonts w:ascii="Arial" w:eastAsia="Times New Roman" w:hAnsi="Arial" w:cs="Arial"/>
          <w:sz w:val="24"/>
          <w:szCs w:val="24"/>
          <w:lang w:val="en-GB" w:eastAsia="en-GB"/>
        </w:rPr>
        <w:t xml:space="preserve"> p ≤ 0.001.</w:t>
      </w:r>
    </w:p>
    <w:p w14:paraId="53F346DA" w14:textId="77777777" w:rsidR="0069384A" w:rsidRPr="004A0ED6" w:rsidRDefault="0069384A">
      <w:pPr>
        <w:rPr>
          <w:lang w:val="en-GB"/>
        </w:rPr>
      </w:pPr>
    </w:p>
    <w:sectPr w:rsidR="0069384A" w:rsidRPr="004A0E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9474D" w14:textId="77777777" w:rsidR="00093394" w:rsidRDefault="00093394">
      <w:pPr>
        <w:spacing w:line="240" w:lineRule="auto"/>
      </w:pPr>
      <w:r>
        <w:separator/>
      </w:r>
    </w:p>
  </w:endnote>
  <w:endnote w:type="continuationSeparator" w:id="0">
    <w:p w14:paraId="73475601" w14:textId="77777777" w:rsidR="00093394" w:rsidRDefault="000933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3A7926" w14:textId="77777777" w:rsidR="00093394" w:rsidRDefault="00093394">
      <w:pPr>
        <w:spacing w:after="0"/>
      </w:pPr>
      <w:r>
        <w:separator/>
      </w:r>
    </w:p>
  </w:footnote>
  <w:footnote w:type="continuationSeparator" w:id="0">
    <w:p w14:paraId="5954227D" w14:textId="77777777" w:rsidR="00093394" w:rsidRDefault="0009339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580"/>
    <w:rsid w:val="000213A9"/>
    <w:rsid w:val="000555BD"/>
    <w:rsid w:val="00071C24"/>
    <w:rsid w:val="00092CEB"/>
    <w:rsid w:val="00093394"/>
    <w:rsid w:val="000D1531"/>
    <w:rsid w:val="000F42E3"/>
    <w:rsid w:val="001262E5"/>
    <w:rsid w:val="001306D6"/>
    <w:rsid w:val="001E43B8"/>
    <w:rsid w:val="001F6C37"/>
    <w:rsid w:val="00216D88"/>
    <w:rsid w:val="00224D41"/>
    <w:rsid w:val="00291195"/>
    <w:rsid w:val="002D4598"/>
    <w:rsid w:val="002F3C74"/>
    <w:rsid w:val="003225CC"/>
    <w:rsid w:val="00334304"/>
    <w:rsid w:val="00337F1C"/>
    <w:rsid w:val="00362728"/>
    <w:rsid w:val="00377055"/>
    <w:rsid w:val="003B340A"/>
    <w:rsid w:val="00427887"/>
    <w:rsid w:val="00445E08"/>
    <w:rsid w:val="00470DED"/>
    <w:rsid w:val="004931F1"/>
    <w:rsid w:val="004A0ED6"/>
    <w:rsid w:val="004B0FD3"/>
    <w:rsid w:val="004C3A12"/>
    <w:rsid w:val="004D3CC4"/>
    <w:rsid w:val="004D702E"/>
    <w:rsid w:val="004E1D3B"/>
    <w:rsid w:val="00511986"/>
    <w:rsid w:val="005564BD"/>
    <w:rsid w:val="00573490"/>
    <w:rsid w:val="005819BB"/>
    <w:rsid w:val="005836F4"/>
    <w:rsid w:val="005C21BB"/>
    <w:rsid w:val="005E2747"/>
    <w:rsid w:val="005E76F1"/>
    <w:rsid w:val="00606FF4"/>
    <w:rsid w:val="006220CD"/>
    <w:rsid w:val="00670E80"/>
    <w:rsid w:val="0069384A"/>
    <w:rsid w:val="00781DB9"/>
    <w:rsid w:val="007B3EE0"/>
    <w:rsid w:val="007E5BC3"/>
    <w:rsid w:val="00853D2B"/>
    <w:rsid w:val="008B5580"/>
    <w:rsid w:val="008F3212"/>
    <w:rsid w:val="009A36AD"/>
    <w:rsid w:val="00A214BF"/>
    <w:rsid w:val="00A261EE"/>
    <w:rsid w:val="00A83162"/>
    <w:rsid w:val="00A92075"/>
    <w:rsid w:val="00A93397"/>
    <w:rsid w:val="00AA4285"/>
    <w:rsid w:val="00B73E41"/>
    <w:rsid w:val="00B75EAF"/>
    <w:rsid w:val="00BB5392"/>
    <w:rsid w:val="00C600EF"/>
    <w:rsid w:val="00C85CA5"/>
    <w:rsid w:val="00D30A93"/>
    <w:rsid w:val="00D31E95"/>
    <w:rsid w:val="00D40EA3"/>
    <w:rsid w:val="00D763C4"/>
    <w:rsid w:val="00DD1EE2"/>
    <w:rsid w:val="00E377E1"/>
    <w:rsid w:val="00E407D0"/>
    <w:rsid w:val="00E530E8"/>
    <w:rsid w:val="00E54901"/>
    <w:rsid w:val="00EC21F3"/>
    <w:rsid w:val="00EE2F41"/>
    <w:rsid w:val="00EE72F5"/>
    <w:rsid w:val="00F05075"/>
    <w:rsid w:val="00F43DB7"/>
    <w:rsid w:val="00F962F2"/>
    <w:rsid w:val="00FA54DD"/>
    <w:rsid w:val="00FD7B82"/>
    <w:rsid w:val="2B5E36FC"/>
    <w:rsid w:val="5196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D6A00C"/>
  <w15:docId w15:val="{A5108193-DC47-4FA1-A4E6-F104204FA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nb-N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customStyle="1" w:styleId="Revision1">
    <w:name w:val="Revision1"/>
    <w:hidden/>
    <w:uiPriority w:val="99"/>
    <w:semiHidden/>
    <w:rPr>
      <w:sz w:val="22"/>
      <w:szCs w:val="22"/>
      <w:lang w:val="nb-NO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1531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D1531"/>
    <w:rPr>
      <w:sz w:val="18"/>
      <w:szCs w:val="18"/>
      <w:lang w:val="nb-NO" w:eastAsia="en-US"/>
    </w:rPr>
  </w:style>
  <w:style w:type="paragraph" w:styleId="Footer">
    <w:name w:val="footer"/>
    <w:basedOn w:val="Normal"/>
    <w:link w:val="FooterChar"/>
    <w:uiPriority w:val="99"/>
    <w:unhideWhenUsed/>
    <w:rsid w:val="000D153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D1531"/>
    <w:rPr>
      <w:sz w:val="18"/>
      <w:szCs w:val="18"/>
      <w:lang w:val="nb-NO" w:eastAsia="en-US"/>
    </w:rPr>
  </w:style>
  <w:style w:type="paragraph" w:styleId="Revision">
    <w:name w:val="Revision"/>
    <w:hidden/>
    <w:uiPriority w:val="99"/>
    <w:unhideWhenUsed/>
    <w:rsid w:val="00EC21F3"/>
    <w:rPr>
      <w:sz w:val="22"/>
      <w:szCs w:val="22"/>
      <w:lang w:val="nb-N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DE5B6-92E3-4F9E-A863-9C681560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467</Words>
  <Characters>2023</Characters>
  <Application>Microsoft Office Word</Application>
  <DocSecurity>0</DocSecurity>
  <Lines>54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Universitetet i Oslo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Arooj Munir</dc:creator>
  <cp:lastModifiedBy>Monica</cp:lastModifiedBy>
  <cp:revision>6</cp:revision>
  <dcterms:created xsi:type="dcterms:W3CDTF">2025-04-01T11:40:00Z</dcterms:created>
  <dcterms:modified xsi:type="dcterms:W3CDTF">2025-04-30T02:23:00Z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eyJoZGlkIjoiNmVhZjhjN2Q4MzY2NTZkYjMyYjY4M2YxNTU5MzBhNjciLCJ1c2VySWQiOiIyNjY5MjQyNDEifQ==</vt:lpwstr>
  </property>
  <property fmtid="{D5CDD505-2E9C-101B-9397-08002B2CF9AE}" pid="3" name="KSOProductBuildVer">
    <vt:lpwstr>2052-12.1.0.19302</vt:lpwstr>
  </property>
  <property fmtid="{D5CDD505-2E9C-101B-9397-08002B2CF9AE}" pid="4" name="ICV">
    <vt:lpwstr>8F675CBE827A4EBAA5EA35C825DF768F_13</vt:lpwstr>
  </property>
</Properties>
</file>